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AF" w:rsidRDefault="00771004" w:rsidP="00A25634">
      <w:pPr>
        <w:spacing w:after="0"/>
        <w:jc w:val="right"/>
        <w:rPr>
          <w:sz w:val="44"/>
        </w:rPr>
      </w:pPr>
      <w:r w:rsidRPr="00771004">
        <w:rPr>
          <w:rFonts w:ascii="Georgia" w:hAnsi="Georgia"/>
          <w:noProof/>
          <w:sz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-266351</wp:posOffset>
            </wp:positionH>
            <wp:positionV relativeFrom="paragraph">
              <wp:posOffset>68161</wp:posOffset>
            </wp:positionV>
            <wp:extent cx="1359017" cy="755009"/>
            <wp:effectExtent l="0" t="0" r="0" b="0"/>
            <wp:wrapNone/>
            <wp:docPr id="8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53330" cy="3154710"/>
                      <a:chOff x="2150604" y="1618514"/>
                      <a:chExt cx="5653330" cy="3154710"/>
                    </a:xfrm>
                  </a:grpSpPr>
                  <a:grpSp>
                    <a:nvGrpSpPr>
                      <a:cNvPr id="19" name="Group 18"/>
                      <a:cNvGrpSpPr/>
                    </a:nvGrpSpPr>
                    <a:grpSpPr>
                      <a:xfrm>
                        <a:off x="2150604" y="1618514"/>
                        <a:ext cx="5653330" cy="3154710"/>
                        <a:chOff x="2150604" y="1618514"/>
                        <a:chExt cx="5653330" cy="3154710"/>
                      </a:xfrm>
                    </a:grpSpPr>
                    <a:grpSp>
                      <a:nvGrpSpPr>
                        <a:cNvPr id="3" name="Group 14"/>
                        <a:cNvGrpSpPr/>
                      </a:nvGrpSpPr>
                      <a:grpSpPr>
                        <a:xfrm rot="10800000">
                          <a:off x="2150604" y="3439724"/>
                          <a:ext cx="1095862" cy="490625"/>
                          <a:chOff x="5586169" y="2589212"/>
                          <a:chExt cx="1095862" cy="490625"/>
                        </a:xfrm>
                      </a:grpSpPr>
                      <a:cxnSp>
                        <a:nvCxnSpPr>
                          <a:cNvPr id="13" name="Straight Connector 12"/>
                          <a:cNvCxnSpPr/>
                        </a:nvCxnSpPr>
                        <a:spPr>
                          <a:xfrm>
                            <a:off x="6019800" y="2589212"/>
                            <a:ext cx="609600" cy="1588"/>
                          </a:xfrm>
                          <a:prstGeom prst="line">
                            <a:avLst/>
                          </a:prstGeom>
                          <a:ln w="104775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4" name="Freeform 13"/>
                          <a:cNvSpPr/>
                        </a:nvSpPr>
                        <a:spPr>
                          <a:xfrm rot="19656753">
                            <a:off x="5586169" y="2815848"/>
                            <a:ext cx="1095862" cy="263989"/>
                          </a:xfrm>
                          <a:custGeom>
                            <a:avLst/>
                            <a:gdLst>
                              <a:gd name="connsiteX0" fmla="*/ 571500 w 1143000"/>
                              <a:gd name="connsiteY0" fmla="*/ 0 h 381000"/>
                              <a:gd name="connsiteX1" fmla="*/ 752225 w 1143000"/>
                              <a:gd name="connsiteY1" fmla="*/ 9776 h 381000"/>
                              <a:gd name="connsiteX2" fmla="*/ 1143000 w 1143000"/>
                              <a:gd name="connsiteY2" fmla="*/ 190501 h 381000"/>
                              <a:gd name="connsiteX3" fmla="*/ 571500 w 1143000"/>
                              <a:gd name="connsiteY3" fmla="*/ 190500 h 381000"/>
                              <a:gd name="connsiteX4" fmla="*/ 571500 w 1143000"/>
                              <a:gd name="connsiteY4" fmla="*/ 0 h 381000"/>
                              <a:gd name="connsiteX0" fmla="*/ 571500 w 1143000"/>
                              <a:gd name="connsiteY0" fmla="*/ 0 h 381000"/>
                              <a:gd name="connsiteX1" fmla="*/ 752225 w 1143000"/>
                              <a:gd name="connsiteY1" fmla="*/ 9776 h 381000"/>
                              <a:gd name="connsiteX2" fmla="*/ 1143000 w 1143000"/>
                              <a:gd name="connsiteY2" fmla="*/ 190501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0" h="381000" stroke="0" extrusionOk="0">
                                <a:moveTo>
                                  <a:pt x="571500" y="0"/>
                                </a:moveTo>
                                <a:cubicBezTo>
                                  <a:pt x="632926" y="0"/>
                                  <a:pt x="693951" y="3301"/>
                                  <a:pt x="752225" y="9776"/>
                                </a:cubicBezTo>
                                <a:cubicBezTo>
                                  <a:pt x="985594" y="35706"/>
                                  <a:pt x="1143002" y="108504"/>
                                  <a:pt x="1143000" y="190501"/>
                                </a:cubicBezTo>
                                <a:lnTo>
                                  <a:pt x="571500" y="190500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  <a:path w="1143000" h="381000" fill="none">
                                <a:moveTo>
                                  <a:pt x="571500" y="0"/>
                                </a:moveTo>
                                <a:cubicBezTo>
                                  <a:pt x="632926" y="0"/>
                                  <a:pt x="693951" y="3301"/>
                                  <a:pt x="752225" y="9776"/>
                                </a:cubicBezTo>
                                <a:cubicBezTo>
                                  <a:pt x="985594" y="35706"/>
                                  <a:pt x="1143002" y="108504"/>
                                  <a:pt x="1143000" y="190501"/>
                                </a:cubicBezTo>
                              </a:path>
                            </a:pathLst>
                          </a:custGeom>
                          <a:ln w="762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6" name="Oval 5"/>
                        <a:cNvSpPr/>
                      </a:nvSpPr>
                      <a:spPr>
                        <a:xfrm rot="20183362">
                          <a:off x="2338085" y="2325991"/>
                          <a:ext cx="5257800" cy="2120019"/>
                        </a:xfrm>
                        <a:prstGeom prst="ellipse">
                          <a:avLst/>
                        </a:prstGeom>
                        <a:ln w="101600">
                          <a:solidFill>
                            <a:srgbClr val="0070C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" name="Freeform 11"/>
                        <a:cNvSpPr/>
                      </a:nvSpPr>
                      <a:spPr>
                        <a:xfrm rot="19656753">
                          <a:off x="6708072" y="3045937"/>
                          <a:ext cx="1095862" cy="263989"/>
                        </a:xfrm>
                        <a:custGeom>
                          <a:avLst/>
                          <a:gdLst>
                            <a:gd name="connsiteX0" fmla="*/ 571500 w 1143000"/>
                            <a:gd name="connsiteY0" fmla="*/ 0 h 381000"/>
                            <a:gd name="connsiteX1" fmla="*/ 752225 w 1143000"/>
                            <a:gd name="connsiteY1" fmla="*/ 9776 h 381000"/>
                            <a:gd name="connsiteX2" fmla="*/ 1143000 w 1143000"/>
                            <a:gd name="connsiteY2" fmla="*/ 190501 h 381000"/>
                            <a:gd name="connsiteX3" fmla="*/ 571500 w 1143000"/>
                            <a:gd name="connsiteY3" fmla="*/ 190500 h 381000"/>
                            <a:gd name="connsiteX4" fmla="*/ 571500 w 1143000"/>
                            <a:gd name="connsiteY4" fmla="*/ 0 h 381000"/>
                            <a:gd name="connsiteX0" fmla="*/ 571500 w 1143000"/>
                            <a:gd name="connsiteY0" fmla="*/ 0 h 381000"/>
                            <a:gd name="connsiteX1" fmla="*/ 752225 w 1143000"/>
                            <a:gd name="connsiteY1" fmla="*/ 9776 h 381000"/>
                            <a:gd name="connsiteX2" fmla="*/ 1143000 w 1143000"/>
                            <a:gd name="connsiteY2" fmla="*/ 190501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3000" h="381000" stroke="0" extrusionOk="0">
                              <a:moveTo>
                                <a:pt x="571500" y="0"/>
                              </a:moveTo>
                              <a:cubicBezTo>
                                <a:pt x="632926" y="0"/>
                                <a:pt x="693951" y="3301"/>
                                <a:pt x="752225" y="9776"/>
                              </a:cubicBezTo>
                              <a:cubicBezTo>
                                <a:pt x="985594" y="35706"/>
                                <a:pt x="1143002" y="108504"/>
                                <a:pt x="1143000" y="190501"/>
                              </a:cubicBezTo>
                              <a:lnTo>
                                <a:pt x="571500" y="190500"/>
                              </a:lnTo>
                              <a:lnTo>
                                <a:pt x="571500" y="0"/>
                              </a:lnTo>
                              <a:close/>
                            </a:path>
                            <a:path w="1143000" h="381000" fill="none">
                              <a:moveTo>
                                <a:pt x="571500" y="0"/>
                              </a:moveTo>
                              <a:cubicBezTo>
                                <a:pt x="632926" y="0"/>
                                <a:pt x="693951" y="3301"/>
                                <a:pt x="752225" y="9776"/>
                              </a:cubicBezTo>
                              <a:cubicBezTo>
                                <a:pt x="985594" y="35706"/>
                                <a:pt x="1143002" y="108504"/>
                                <a:pt x="1143000" y="190501"/>
                              </a:cubicBezTo>
                            </a:path>
                          </a:pathLst>
                        </a:custGeom>
                        <a:ln w="762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6" name="Rectangle 15"/>
                        <a:cNvSpPr/>
                      </a:nvSpPr>
                      <a:spPr>
                        <a:xfrm>
                          <a:off x="2739936" y="2243369"/>
                          <a:ext cx="4343400" cy="1905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" name="Rectangle 4"/>
                        <a:cNvSpPr/>
                      </a:nvSpPr>
                      <a:spPr>
                        <a:xfrm>
                          <a:off x="2586320" y="1618514"/>
                          <a:ext cx="4650633" cy="31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/>
                        </a:scene3d>
                        <a:sp3d>
                          <a:bevelT w="190500" h="38100"/>
                        </a:sp3d>
                      </a:spPr>
                      <a:txSp>
                        <a:txBody>
                          <a:bodyPr wrap="none" lIns="91440" tIns="45720" rIns="91440" bIns="45720">
                            <a:spAutoFit/>
                            <a:scene3d>
                              <a:camera prst="orthographicFront"/>
                              <a:lightRig rig="balanced" dir="t"/>
                            </a:scene3d>
                            <a:sp3d>
                              <a:bevelT w="27940" h="12700"/>
                              <a:contourClr>
                                <a:srgbClr val="DDDDDD"/>
                              </a:contourClr>
                            </a:sp3d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3800" b="1" cap="none" spc="150" dirty="0" smtClean="0">
                                <a:ln w="11430"/>
                                <a:solidFill>
                                  <a:srgbClr val="002060"/>
                                </a:solidFill>
                                <a:effectLst>
                                  <a:outerShdw blurRad="50800" dist="38100" algn="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latin typeface="Book Antiqua" pitchFamily="18" charset="0"/>
                              </a:rPr>
                              <a:t>S</a:t>
                            </a:r>
                            <a:r>
                              <a:rPr lang="en-US" sz="19900" b="1" cap="none" spc="150" dirty="0" smtClean="0">
                                <a:ln w="11430"/>
                                <a:solidFill>
                                  <a:srgbClr val="FF0000"/>
                                </a:solidFill>
                                <a:effectLst>
                                  <a:outerShdw blurRad="50800" dist="38100" algn="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latin typeface="Book Antiqua" pitchFamily="18" charset="0"/>
                              </a:rPr>
                              <a:t>S</a:t>
                            </a:r>
                            <a:r>
                              <a:rPr lang="en-US" sz="13800" b="1" cap="none" spc="150" dirty="0" smtClean="0">
                                <a:ln w="11430"/>
                                <a:solidFill>
                                  <a:srgbClr val="002060"/>
                                </a:solidFill>
                                <a:effectLst>
                                  <a:outerShdw blurRad="50800" dist="38100" algn="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latin typeface="Book Antiqua" pitchFamily="18" charset="0"/>
                              </a:rPr>
                              <a:t>M</a:t>
                            </a:r>
                            <a:endParaRPr lang="en-US" sz="8800" b="1" cap="none" spc="150" dirty="0">
                              <a:ln w="11430"/>
                              <a:solidFill>
                                <a:srgbClr val="002060"/>
                              </a:solidFill>
                              <a:effectLst>
                                <a:outerShdw blurRad="50800" dist="3810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Straight Connector 7"/>
                        <a:cNvCxnSpPr/>
                      </a:nvCxnSpPr>
                      <a:spPr>
                        <a:xfrm>
                          <a:off x="7065503" y="2866636"/>
                          <a:ext cx="609600" cy="1588"/>
                        </a:xfrm>
                        <a:prstGeom prst="line">
                          <a:avLst/>
                        </a:prstGeom>
                        <a:ln w="1047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  <w:r w:rsidR="00D72318" w:rsidRPr="00D72318">
        <w:rPr>
          <w:rFonts w:ascii="Georgia" w:hAnsi="Georgia"/>
          <w:sz w:val="72"/>
        </w:rPr>
        <w:t>S</w:t>
      </w:r>
      <w:r w:rsidR="00D72318" w:rsidRPr="00771004">
        <w:rPr>
          <w:rFonts w:ascii="Georgia" w:hAnsi="Georgia"/>
          <w:color w:val="FF0000"/>
          <w:sz w:val="72"/>
        </w:rPr>
        <w:t>S</w:t>
      </w:r>
      <w:r w:rsidR="00D72318" w:rsidRPr="00D72318">
        <w:rPr>
          <w:rFonts w:ascii="Georgia" w:hAnsi="Georgia"/>
          <w:sz w:val="72"/>
        </w:rPr>
        <w:t>M</w:t>
      </w:r>
      <w:r w:rsidR="00D72318" w:rsidRPr="00D72318">
        <w:rPr>
          <w:sz w:val="52"/>
        </w:rPr>
        <w:t xml:space="preserve"> </w:t>
      </w:r>
      <w:r w:rsidR="00D72318" w:rsidRPr="00D72318">
        <w:rPr>
          <w:sz w:val="44"/>
        </w:rPr>
        <w:t>InfoTech Solutions Pvt. Ltd.</w:t>
      </w:r>
    </w:p>
    <w:p w:rsidR="00D72318" w:rsidRDefault="00D72318" w:rsidP="00A25634">
      <w:pPr>
        <w:spacing w:after="0"/>
        <w:jc w:val="right"/>
        <w:rPr>
          <w:sz w:val="20"/>
        </w:rPr>
      </w:pPr>
      <w:proofErr w:type="gramStart"/>
      <w:r w:rsidRPr="00D72318">
        <w:rPr>
          <w:sz w:val="20"/>
        </w:rPr>
        <w:t>C-502, President Plaza, Near RTO, Ring Road, Surat-1.</w:t>
      </w:r>
      <w:proofErr w:type="gramEnd"/>
      <w:r w:rsidRPr="00D72318">
        <w:rPr>
          <w:sz w:val="20"/>
        </w:rPr>
        <w:t xml:space="preserve"> INDIA.</w:t>
      </w:r>
    </w:p>
    <w:p w:rsidR="00A25634" w:rsidRDefault="00A25634" w:rsidP="00A25634">
      <w:pPr>
        <w:spacing w:after="0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-635</wp:posOffset>
            </wp:positionV>
            <wp:extent cx="173355" cy="15938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>Phone: 09998823940 (M), 091-9974042150(Office), 0261-2460960 (Fax)</w:t>
      </w:r>
    </w:p>
    <w:p w:rsidR="00D72318" w:rsidRDefault="00A81F5B" w:rsidP="00D72318">
      <w:pPr>
        <w:pBdr>
          <w:bottom w:val="single" w:sz="6" w:space="1" w:color="auto"/>
        </w:pBdr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5364934</wp:posOffset>
            </wp:positionH>
            <wp:positionV relativeFrom="paragraph">
              <wp:posOffset>280460</wp:posOffset>
            </wp:positionV>
            <wp:extent cx="1037963" cy="427839"/>
            <wp:effectExtent l="19050" t="0" r="0" b="0"/>
            <wp:wrapNone/>
            <wp:docPr id="15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63" cy="42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1CA0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1740890</wp:posOffset>
            </wp:positionH>
            <wp:positionV relativeFrom="paragraph">
              <wp:posOffset>280460</wp:posOffset>
            </wp:positionV>
            <wp:extent cx="727571" cy="578841"/>
            <wp:effectExtent l="19050" t="0" r="0" b="0"/>
            <wp:wrapNone/>
            <wp:docPr id="16" name="Picture 2" descr="http://tbn0.google.com/images?q=tbn:QgGyfFWLHGu4nM:http://www.cougarbyte.com/m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QgGyfFWLHGu4nM:http://www.cougarbyte.com/ms_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71" cy="57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CA0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1059110</wp:posOffset>
            </wp:positionH>
            <wp:positionV relativeFrom="paragraph">
              <wp:posOffset>230126</wp:posOffset>
            </wp:positionV>
            <wp:extent cx="713064" cy="562063"/>
            <wp:effectExtent l="0" t="0" r="0" b="0"/>
            <wp:wrapNone/>
            <wp:docPr id="14" name="Picture 10" descr="http://tbn0.google.com/images?q=tbn:S_6SQ1FpkNEbBM:http://www.lpds.sztaki.hu/dapsys/images/hp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 descr="http://tbn0.google.com/images?q=tbn:S_6SQ1FpkNEbBM:http://www.lpds.sztaki.hu/dapsys/images/hp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64" cy="56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659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2495900</wp:posOffset>
            </wp:positionH>
            <wp:positionV relativeFrom="paragraph">
              <wp:posOffset>196570</wp:posOffset>
            </wp:positionV>
            <wp:extent cx="635291" cy="536896"/>
            <wp:effectExtent l="19050" t="0" r="0" b="0"/>
            <wp:wrapNone/>
            <wp:docPr id="12" name="Picture 8" descr="logoww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logoww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808" r="10345" b="2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91" cy="53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004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37925</wp:posOffset>
            </wp:positionH>
            <wp:positionV relativeFrom="paragraph">
              <wp:posOffset>280460</wp:posOffset>
            </wp:positionV>
            <wp:extent cx="1012796" cy="411061"/>
            <wp:effectExtent l="19050" t="0" r="0" b="0"/>
            <wp:wrapNone/>
            <wp:docPr id="10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96" cy="411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634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3578079</wp:posOffset>
            </wp:positionH>
            <wp:positionV relativeFrom="paragraph">
              <wp:posOffset>22347</wp:posOffset>
            </wp:positionV>
            <wp:extent cx="140341" cy="134224"/>
            <wp:effectExtent l="19050" t="0" r="0" b="0"/>
            <wp:wrapNone/>
            <wp:docPr id="5" name="Picture 2" descr="http://tbn0.google.com/images?q=tbn:lwaQHEhLCwBHUM:http://tnmomwith3kids.files.wordpress.com/2007/04/small-em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tbn0.google.com/images?q=tbn:lwaQHEhLCwBHUM:http://tnmomwith3kids.files.wordpress.com/2007/04/small-email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1" cy="134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634" w:rsidRPr="00A25634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5060659</wp:posOffset>
            </wp:positionH>
            <wp:positionV relativeFrom="paragraph">
              <wp:posOffset>47514</wp:posOffset>
            </wp:positionV>
            <wp:extent cx="123563" cy="109057"/>
            <wp:effectExtent l="19050" t="0" r="0" b="0"/>
            <wp:wrapNone/>
            <wp:docPr id="6" name="Picture 3" descr="http://tbn0.google.com/images?q=tbn:oL7rFAYrjMPCQM:http://www.nspcc.org.uk/images/InternetExplorer_logo.gif_wdi3909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tbn0.google.com/images?q=tbn:oL7rFAYrjMPCQM:http://www.nspcc.org.uk/images/InternetExplorer_logo.gif_wdi3909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3" cy="109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5634" w:rsidRPr="00A25634">
        <w:rPr>
          <w:sz w:val="20"/>
        </w:rPr>
        <w:t>sudip@ssminfotech.com</w:t>
      </w:r>
      <w:r w:rsidR="00A25634">
        <w:rPr>
          <w:sz w:val="20"/>
        </w:rPr>
        <w:t xml:space="preserve">       </w:t>
      </w:r>
      <w:r w:rsidR="00A25634" w:rsidRPr="00A25634">
        <w:rPr>
          <w:sz w:val="20"/>
        </w:rPr>
        <w:t>www.ssminfotech.com</w:t>
      </w:r>
      <w:r w:rsidR="00A25634">
        <w:rPr>
          <w:sz w:val="20"/>
        </w:rPr>
        <w:t xml:space="preserve"> </w:t>
      </w:r>
    </w:p>
    <w:p w:rsidR="00771004" w:rsidRDefault="00A81F5B" w:rsidP="00D72318">
      <w:pPr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27940</wp:posOffset>
            </wp:positionV>
            <wp:extent cx="739775" cy="335280"/>
            <wp:effectExtent l="19050" t="0" r="3175" b="0"/>
            <wp:wrapNone/>
            <wp:docPr id="13" name="Picture 9" descr="http://tbn0.google.com/images?q=tbn:3lCQXVT8BFkdqM:http://www.sundancedigital.com/Partners/Masterclo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http://tbn0.google.com/images?q=tbn:3lCQXVT8BFkdqM:http://www.sundancedigital.com/Partners/Masterclock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27940</wp:posOffset>
            </wp:positionV>
            <wp:extent cx="1369695" cy="377190"/>
            <wp:effectExtent l="19050" t="0" r="1905" b="0"/>
            <wp:wrapNone/>
            <wp:docPr id="3" name="Picture 3" descr="Rockwell Automation Logo">
              <a:hlinkClick xmlns:a="http://schemas.openxmlformats.org/drawingml/2006/main" r:id="rId16" tooltip="&quot;The Rockwell Automation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ckwell Automation Logo">
                      <a:hlinkClick r:id="rId16" tooltip="&quot;The Rockwell Automation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004" w:rsidRDefault="00771004" w:rsidP="00D72318">
      <w:pPr>
        <w:pBdr>
          <w:bottom w:val="single" w:sz="6" w:space="1" w:color="auto"/>
        </w:pBdr>
        <w:jc w:val="right"/>
        <w:rPr>
          <w:sz w:val="20"/>
        </w:rPr>
      </w:pPr>
    </w:p>
    <w:p w:rsidR="00A10741" w:rsidRDefault="00771004" w:rsidP="00E23659">
      <w:pPr>
        <w:jc w:val="both"/>
        <w:rPr>
          <w:sz w:val="20"/>
        </w:rPr>
      </w:pPr>
      <w:r>
        <w:rPr>
          <w:sz w:val="20"/>
        </w:rPr>
        <w:t xml:space="preserve">SSM InfoTech </w:t>
      </w:r>
      <w:r w:rsidR="004114EA">
        <w:rPr>
          <w:sz w:val="20"/>
        </w:rPr>
        <w:t>is working in field of IT, Automation hardware and software solutions</w:t>
      </w:r>
      <w:r w:rsidR="00A10741">
        <w:rPr>
          <w:sz w:val="20"/>
        </w:rPr>
        <w:t xml:space="preserve"> and system integration</w:t>
      </w:r>
      <w:r w:rsidR="004114EA">
        <w:rPr>
          <w:sz w:val="20"/>
        </w:rPr>
        <w:t xml:space="preserve"> since 200</w:t>
      </w:r>
      <w:r w:rsidR="00A10741">
        <w:rPr>
          <w:sz w:val="20"/>
        </w:rPr>
        <w:t xml:space="preserve">1. We are based at Surat, Gujarat and having established sales and support network at Bangalore, Mumbai, </w:t>
      </w:r>
      <w:proofErr w:type="spellStart"/>
      <w:r w:rsidR="00A10741">
        <w:rPr>
          <w:sz w:val="20"/>
        </w:rPr>
        <w:t>Pune</w:t>
      </w:r>
      <w:proofErr w:type="spellEnd"/>
      <w:r w:rsidR="00A10741">
        <w:rPr>
          <w:sz w:val="20"/>
        </w:rPr>
        <w:t xml:space="preserve">, </w:t>
      </w:r>
      <w:proofErr w:type="spellStart"/>
      <w:r w:rsidR="00A10741">
        <w:rPr>
          <w:sz w:val="20"/>
        </w:rPr>
        <w:t>Vadodara</w:t>
      </w:r>
      <w:proofErr w:type="spellEnd"/>
      <w:r w:rsidR="00A10741">
        <w:rPr>
          <w:sz w:val="20"/>
        </w:rPr>
        <w:t xml:space="preserve">, </w:t>
      </w:r>
      <w:proofErr w:type="gramStart"/>
      <w:r w:rsidR="00A10741">
        <w:rPr>
          <w:sz w:val="20"/>
        </w:rPr>
        <w:t>Jamnagar</w:t>
      </w:r>
      <w:proofErr w:type="gramEnd"/>
      <w:r w:rsidR="00A10741">
        <w:rPr>
          <w:sz w:val="20"/>
        </w:rPr>
        <w:t xml:space="preserve"> at </w:t>
      </w:r>
      <w:proofErr w:type="spellStart"/>
      <w:r w:rsidR="00A10741">
        <w:rPr>
          <w:sz w:val="20"/>
        </w:rPr>
        <w:t>gandhidham</w:t>
      </w:r>
      <w:proofErr w:type="spellEnd"/>
      <w:r w:rsidR="00A10741">
        <w:rPr>
          <w:sz w:val="20"/>
        </w:rPr>
        <w:t>.</w:t>
      </w:r>
      <w:r w:rsidR="00A81F5B" w:rsidRPr="00A81F5B">
        <w:rPr>
          <w:rFonts w:ascii="Verdana" w:hAnsi="Verdana"/>
          <w:color w:val="000000"/>
        </w:rPr>
        <w:t xml:space="preserve"> </w:t>
      </w:r>
    </w:p>
    <w:p w:rsidR="00E23659" w:rsidRDefault="00E23659" w:rsidP="00E23659">
      <w:pPr>
        <w:jc w:val="both"/>
        <w:rPr>
          <w:sz w:val="20"/>
        </w:rPr>
      </w:pPr>
      <w:r>
        <w:rPr>
          <w:sz w:val="20"/>
        </w:rPr>
        <w:t xml:space="preserve">We represent reputed brands like </w:t>
      </w:r>
      <w:r w:rsidR="00A81F5B">
        <w:rPr>
          <w:sz w:val="20"/>
        </w:rPr>
        <w:t xml:space="preserve">Rockwell Automation, </w:t>
      </w:r>
      <w:r w:rsidR="00791CA0">
        <w:rPr>
          <w:sz w:val="20"/>
        </w:rPr>
        <w:t xml:space="preserve">HP, Microsoft, Wonderware, </w:t>
      </w:r>
      <w:proofErr w:type="spellStart"/>
      <w:r w:rsidR="00791CA0">
        <w:rPr>
          <w:sz w:val="20"/>
        </w:rPr>
        <w:t>Masterclock</w:t>
      </w:r>
      <w:proofErr w:type="spellEnd"/>
      <w:r w:rsidR="00791CA0">
        <w:rPr>
          <w:sz w:val="20"/>
        </w:rPr>
        <w:t xml:space="preserve"> and </w:t>
      </w:r>
      <w:proofErr w:type="spellStart"/>
      <w:r w:rsidR="00791CA0">
        <w:rPr>
          <w:sz w:val="20"/>
        </w:rPr>
        <w:t>dynalog</w:t>
      </w:r>
      <w:proofErr w:type="spellEnd"/>
      <w:r w:rsidR="00791CA0">
        <w:rPr>
          <w:sz w:val="20"/>
        </w:rPr>
        <w:t xml:space="preserve">. X-Force is our own trademark for software solutions. We have best technocrats with us of total strength of 90. </w:t>
      </w:r>
    </w:p>
    <w:p w:rsidR="00E23659" w:rsidRDefault="00E23659" w:rsidP="00E23659">
      <w:pPr>
        <w:jc w:val="both"/>
        <w:rPr>
          <w:sz w:val="20"/>
        </w:rPr>
      </w:pPr>
      <w:r>
        <w:rPr>
          <w:sz w:val="20"/>
        </w:rPr>
        <w:t xml:space="preserve">We have successfully executed more than 100 orders at Reliance Industries Ltd in 2004. Our most significant projects include turnkey automation project for Micro Inks Ltd worth of 60 </w:t>
      </w:r>
      <w:proofErr w:type="spellStart"/>
      <w:r>
        <w:rPr>
          <w:sz w:val="20"/>
        </w:rPr>
        <w:t>Lacs</w:t>
      </w:r>
      <w:proofErr w:type="spellEnd"/>
      <w:r>
        <w:rPr>
          <w:sz w:val="20"/>
        </w:rPr>
        <w:t xml:space="preserve">, ETP automation at Reliance worth 55 </w:t>
      </w:r>
      <w:proofErr w:type="spellStart"/>
      <w:r>
        <w:rPr>
          <w:sz w:val="20"/>
        </w:rPr>
        <w:t>Lacs</w:t>
      </w:r>
      <w:proofErr w:type="spellEnd"/>
      <w:r>
        <w:rPr>
          <w:sz w:val="20"/>
        </w:rPr>
        <w:t xml:space="preserve"> and</w:t>
      </w:r>
      <w:r w:rsidRPr="00E23659">
        <w:rPr>
          <w:sz w:val="20"/>
        </w:rPr>
        <w:t xml:space="preserve"> Turnkey PLC projects, SCADA, customized software,</w:t>
      </w:r>
      <w:r>
        <w:rPr>
          <w:sz w:val="20"/>
        </w:rPr>
        <w:t xml:space="preserve"> </w:t>
      </w:r>
      <w:r w:rsidRPr="00E23659">
        <w:rPr>
          <w:sz w:val="20"/>
        </w:rPr>
        <w:t>Hardware, Connectivity, Historian. We have</w:t>
      </w:r>
      <w:r>
        <w:rPr>
          <w:sz w:val="20"/>
        </w:rPr>
        <w:t xml:space="preserve"> </w:t>
      </w:r>
      <w:r w:rsidRPr="00E23659">
        <w:rPr>
          <w:sz w:val="20"/>
        </w:rPr>
        <w:t>large corporate customers i.e. IOCL,</w:t>
      </w:r>
      <w:r>
        <w:rPr>
          <w:sz w:val="20"/>
        </w:rPr>
        <w:t xml:space="preserve"> </w:t>
      </w:r>
      <w:r w:rsidRPr="00E23659">
        <w:rPr>
          <w:sz w:val="20"/>
        </w:rPr>
        <w:t>IPCL,</w:t>
      </w:r>
      <w:r>
        <w:rPr>
          <w:sz w:val="20"/>
        </w:rPr>
        <w:t xml:space="preserve"> </w:t>
      </w:r>
      <w:r w:rsidRPr="00E23659">
        <w:rPr>
          <w:sz w:val="20"/>
        </w:rPr>
        <w:t>ABB,</w:t>
      </w:r>
      <w:r>
        <w:rPr>
          <w:sz w:val="20"/>
        </w:rPr>
        <w:t xml:space="preserve"> Indian Rayon, IFFCO</w:t>
      </w:r>
      <w:r w:rsidRPr="00E23659">
        <w:rPr>
          <w:sz w:val="20"/>
        </w:rPr>
        <w:t xml:space="preserve">, ONGC, </w:t>
      </w:r>
      <w:r w:rsidRPr="00E23659">
        <w:rPr>
          <w:bCs/>
          <w:sz w:val="20"/>
        </w:rPr>
        <w:t>NTPC</w:t>
      </w:r>
      <w:r w:rsidRPr="00E23659">
        <w:rPr>
          <w:sz w:val="20"/>
        </w:rPr>
        <w:t>, Reliance</w:t>
      </w:r>
      <w:r>
        <w:rPr>
          <w:sz w:val="20"/>
        </w:rPr>
        <w:t xml:space="preserve"> </w:t>
      </w:r>
      <w:r w:rsidRPr="00E23659">
        <w:rPr>
          <w:sz w:val="20"/>
        </w:rPr>
        <w:t>Energy,</w:t>
      </w:r>
      <w:r>
        <w:rPr>
          <w:sz w:val="20"/>
        </w:rPr>
        <w:t xml:space="preserve"> </w:t>
      </w:r>
      <w:r w:rsidRPr="00E23659">
        <w:rPr>
          <w:sz w:val="20"/>
        </w:rPr>
        <w:t>GAIL, Birla, Micro Inks, Larsen &amp; Toubro and many more.</w:t>
      </w:r>
    </w:p>
    <w:p w:rsidR="00ED3191" w:rsidRPr="00FF5A90" w:rsidRDefault="00ED3191" w:rsidP="00ED3191">
      <w:pPr>
        <w:spacing w:after="0"/>
        <w:jc w:val="both"/>
        <w:rPr>
          <w:b/>
          <w:bCs/>
          <w:color w:val="365F91" w:themeColor="accent1" w:themeShade="BF"/>
        </w:rPr>
      </w:pPr>
      <w:r w:rsidRPr="00FF5A90">
        <w:rPr>
          <w:b/>
          <w:bCs/>
          <w:color w:val="365F91" w:themeColor="accent1" w:themeShade="BF"/>
        </w:rPr>
        <w:t>SSM InfoTech Products and solutions: (Our Own Products: X‐Force Brand)</w:t>
      </w:r>
    </w:p>
    <w:p w:rsid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 w:rsidRPr="00ED3191">
        <w:rPr>
          <w:b/>
        </w:rPr>
        <w:t>Alarm Information and management system(AIMP/AMS)</w:t>
      </w:r>
    </w:p>
    <w:p w:rsidR="00A81F5B" w:rsidRPr="00ED3191" w:rsidRDefault="00A81F5B" w:rsidP="00ED3191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SOE Alarms Management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Energy management System (EMS)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Data acquisition Software &amp; Data logger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Calibration management system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Laboratory Information management system/Gas chromatograph Software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Telephone call management system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Utility/Power Plant Data Centre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Plant Information Management System(PIMS)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Large Display Software: LED, Plasma Display</w:t>
      </w:r>
    </w:p>
    <w:p w:rsidR="00ED3191" w:rsidRPr="00ED3191" w:rsidRDefault="00ED3191" w:rsidP="00ED3191">
      <w:pPr>
        <w:pStyle w:val="ListParagraph"/>
        <w:numPr>
          <w:ilvl w:val="0"/>
          <w:numId w:val="1"/>
        </w:numPr>
        <w:spacing w:after="0"/>
        <w:jc w:val="both"/>
        <w:rPr>
          <w:sz w:val="20"/>
        </w:rPr>
      </w:pPr>
      <w:r w:rsidRPr="00ED3191">
        <w:rPr>
          <w:sz w:val="20"/>
        </w:rPr>
        <w:t>Weigh Bridge management Software</w:t>
      </w:r>
    </w:p>
    <w:p w:rsidR="00ED3191" w:rsidRDefault="00ED3191">
      <w:pPr>
        <w:rPr>
          <w:b/>
          <w:bCs/>
          <w:color w:val="365F91" w:themeColor="accent1" w:themeShade="BF"/>
          <w:sz w:val="20"/>
        </w:rPr>
      </w:pPr>
      <w:r>
        <w:rPr>
          <w:b/>
          <w:bCs/>
          <w:color w:val="365F91" w:themeColor="accent1" w:themeShade="BF"/>
          <w:sz w:val="20"/>
        </w:rPr>
        <w:br w:type="page"/>
      </w:r>
    </w:p>
    <w:p w:rsidR="00ED3191" w:rsidRDefault="00ED3191" w:rsidP="00ED3191">
      <w:pPr>
        <w:spacing w:after="0"/>
        <w:jc w:val="both"/>
        <w:rPr>
          <w:b/>
          <w:bCs/>
          <w:color w:val="365F91" w:themeColor="accent1" w:themeShade="BF"/>
          <w:sz w:val="20"/>
        </w:rPr>
      </w:pPr>
    </w:p>
    <w:p w:rsidR="00ED3191" w:rsidRDefault="00ED3191" w:rsidP="00ED3191">
      <w:pPr>
        <w:spacing w:after="0"/>
        <w:jc w:val="both"/>
        <w:rPr>
          <w:b/>
          <w:bCs/>
          <w:color w:val="365F91" w:themeColor="accent1" w:themeShade="BF"/>
          <w:sz w:val="20"/>
        </w:rPr>
      </w:pPr>
    </w:p>
    <w:p w:rsidR="00A81F5B" w:rsidRPr="00FF5A90" w:rsidRDefault="00A81F5B" w:rsidP="00A81F5B">
      <w:pPr>
        <w:spacing w:after="0"/>
        <w:jc w:val="both"/>
        <w:rPr>
          <w:b/>
          <w:bCs/>
          <w:color w:val="365F91" w:themeColor="accent1" w:themeShade="BF"/>
        </w:rPr>
      </w:pPr>
      <w:r w:rsidRPr="00FF5A90">
        <w:rPr>
          <w:b/>
          <w:bCs/>
          <w:color w:val="365F91" w:themeColor="accent1" w:themeShade="BF"/>
        </w:rPr>
        <w:t xml:space="preserve">We specialize in following IT projects </w:t>
      </w:r>
    </w:p>
    <w:p w:rsidR="00A81F5B" w:rsidRPr="00ED3191" w:rsidRDefault="00A81F5B" w:rsidP="00A81F5B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color w:val="365F91" w:themeColor="accent1" w:themeShade="BF"/>
          <w:sz w:val="20"/>
        </w:rPr>
      </w:pPr>
      <w:r w:rsidRPr="00ED3191">
        <w:rPr>
          <w:sz w:val="20"/>
        </w:rPr>
        <w:t>IT Services i.e. Main IT Infrastructure Service Contracts, Server Administrations, Helpdesk Management, Network Management &amp; Logistics &amp; Assets Management.</w:t>
      </w:r>
    </w:p>
    <w:p w:rsidR="00A81F5B" w:rsidRPr="00ED3191" w:rsidRDefault="00A81F5B" w:rsidP="00A81F5B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color w:val="365F91" w:themeColor="accent1" w:themeShade="BF"/>
          <w:sz w:val="20"/>
        </w:rPr>
      </w:pPr>
      <w:r w:rsidRPr="00ED3191">
        <w:rPr>
          <w:sz w:val="20"/>
        </w:rPr>
        <w:t>IT Product Sales i.e. Commercial Desktops, Laptops, Workstation, Ind. Pc’s, Servers &amp; Storage.</w:t>
      </w:r>
    </w:p>
    <w:p w:rsidR="00A81F5B" w:rsidRPr="00ED3191" w:rsidRDefault="00A81F5B" w:rsidP="00A81F5B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color w:val="365F91" w:themeColor="accent1" w:themeShade="BF"/>
          <w:sz w:val="20"/>
        </w:rPr>
      </w:pPr>
      <w:r w:rsidRPr="00ED3191">
        <w:rPr>
          <w:sz w:val="20"/>
        </w:rPr>
        <w:t>Industrial Software solutions and PLC based Automation &amp; SCADA Software solutions.</w:t>
      </w:r>
    </w:p>
    <w:p w:rsidR="00ED3191" w:rsidRDefault="00ED3191" w:rsidP="00ED3191">
      <w:p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ED3191" w:rsidRPr="00FF5A90" w:rsidRDefault="00A81F5B" w:rsidP="00FF5A90">
      <w:pPr>
        <w:spacing w:after="0"/>
        <w:jc w:val="both"/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t>Rockwell Automation</w:t>
      </w:r>
      <w:r w:rsidR="00ED3191" w:rsidRPr="00FF5A90">
        <w:rPr>
          <w:b/>
          <w:bCs/>
          <w:color w:val="365F91" w:themeColor="accent1" w:themeShade="BF"/>
        </w:rPr>
        <w:t>: (PLC)</w:t>
      </w:r>
    </w:p>
    <w:p w:rsidR="00FF5A90" w:rsidRPr="00FF5A90" w:rsidRDefault="00FF5A90" w:rsidP="00FF5A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 xml:space="preserve">We are System Integrator of </w:t>
      </w:r>
      <w:r w:rsidR="00A81F5B">
        <w:rPr>
          <w:rFonts w:ascii="Calibri-Bold" w:hAnsi="Calibri-Bold" w:cs="Calibri-Bold"/>
          <w:b/>
          <w:bCs/>
          <w:color w:val="000000"/>
          <w:sz w:val="19"/>
          <w:szCs w:val="23"/>
        </w:rPr>
        <w:t xml:space="preserve">Rockwell Automation </w:t>
      </w:r>
      <w:r w:rsidRPr="00FF5A90">
        <w:rPr>
          <w:rFonts w:ascii="Calibri" w:hAnsi="Calibri" w:cs="Calibri"/>
          <w:color w:val="000000"/>
          <w:sz w:val="20"/>
          <w:szCs w:val="23"/>
        </w:rPr>
        <w:t>for their PLC</w:t>
      </w:r>
      <w:r w:rsidR="00A81F5B">
        <w:rPr>
          <w:rFonts w:ascii="Calibri" w:hAnsi="Calibri" w:cs="Calibri"/>
          <w:color w:val="000000"/>
          <w:sz w:val="20"/>
          <w:szCs w:val="23"/>
        </w:rPr>
        <w:t>/drives</w:t>
      </w:r>
      <w:r w:rsidRPr="00FF5A90">
        <w:rPr>
          <w:rFonts w:ascii="Calibri" w:hAnsi="Calibri" w:cs="Calibri"/>
          <w:color w:val="000000"/>
          <w:sz w:val="20"/>
          <w:szCs w:val="23"/>
        </w:rPr>
        <w:t xml:space="preserve"> products.</w:t>
      </w:r>
    </w:p>
    <w:p w:rsidR="00ED3191" w:rsidRPr="00FF5A90" w:rsidRDefault="00A81F5B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>
        <w:rPr>
          <w:rFonts w:ascii="Calibri" w:hAnsi="Calibri" w:cs="Calibri"/>
          <w:color w:val="000000"/>
          <w:sz w:val="20"/>
          <w:szCs w:val="23"/>
        </w:rPr>
        <w:t xml:space="preserve">Control </w:t>
      </w:r>
      <w:proofErr w:type="spellStart"/>
      <w:r>
        <w:rPr>
          <w:rFonts w:ascii="Calibri" w:hAnsi="Calibri" w:cs="Calibri"/>
          <w:color w:val="000000"/>
          <w:sz w:val="20"/>
          <w:szCs w:val="23"/>
        </w:rPr>
        <w:t>logix</w:t>
      </w:r>
      <w:proofErr w:type="spellEnd"/>
      <w:r>
        <w:rPr>
          <w:rFonts w:ascii="Calibri" w:hAnsi="Calibri" w:cs="Calibri"/>
          <w:color w:val="000000"/>
          <w:sz w:val="20"/>
          <w:szCs w:val="23"/>
        </w:rPr>
        <w:t xml:space="preserve"> Automation controllers.</w:t>
      </w:r>
    </w:p>
    <w:p w:rsidR="00ED3191" w:rsidRPr="00FF5A90" w:rsidRDefault="00A81F5B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proofErr w:type="spellStart"/>
      <w:r>
        <w:rPr>
          <w:rFonts w:ascii="Calibri" w:hAnsi="Calibri" w:cs="Calibri"/>
          <w:color w:val="000000"/>
          <w:sz w:val="20"/>
          <w:szCs w:val="23"/>
        </w:rPr>
        <w:t>Micrologix</w:t>
      </w:r>
      <w:proofErr w:type="spellEnd"/>
      <w:r>
        <w:rPr>
          <w:rFonts w:ascii="Calibri" w:hAnsi="Calibri" w:cs="Calibri"/>
          <w:color w:val="000000"/>
          <w:sz w:val="20"/>
          <w:szCs w:val="23"/>
        </w:rPr>
        <w:t xml:space="preserve"> / Flex </w:t>
      </w:r>
      <w:proofErr w:type="spellStart"/>
      <w:r>
        <w:rPr>
          <w:rFonts w:ascii="Calibri" w:hAnsi="Calibri" w:cs="Calibri"/>
          <w:color w:val="000000"/>
          <w:sz w:val="20"/>
          <w:szCs w:val="23"/>
        </w:rPr>
        <w:t>logix</w:t>
      </w:r>
      <w:proofErr w:type="spellEnd"/>
      <w:r>
        <w:rPr>
          <w:rFonts w:ascii="Calibri" w:hAnsi="Calibri" w:cs="Calibri"/>
          <w:color w:val="000000"/>
          <w:sz w:val="20"/>
          <w:szCs w:val="23"/>
        </w:rPr>
        <w:t xml:space="preserve"> PAC</w:t>
      </w:r>
      <w:r w:rsidR="00FF5A90">
        <w:rPr>
          <w:rFonts w:ascii="Calibri" w:hAnsi="Calibri" w:cs="Calibri"/>
          <w:color w:val="000000"/>
          <w:sz w:val="20"/>
          <w:szCs w:val="23"/>
        </w:rPr>
        <w:t>.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Drives</w:t>
      </w:r>
      <w:r w:rsidR="00FF5A90">
        <w:rPr>
          <w:rFonts w:ascii="Calibri" w:hAnsi="Calibri" w:cs="Calibri"/>
          <w:color w:val="000000"/>
          <w:sz w:val="20"/>
          <w:szCs w:val="23"/>
        </w:rPr>
        <w:t>.</w:t>
      </w:r>
    </w:p>
    <w:p w:rsidR="00FF5A90" w:rsidRDefault="00FF5A90" w:rsidP="00ED31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ED3191" w:rsidRDefault="00A61CB7" w:rsidP="00FF5A90">
      <w:pPr>
        <w:spacing w:after="0"/>
        <w:jc w:val="both"/>
        <w:rPr>
          <w:b/>
          <w:bCs/>
          <w:color w:val="365F91" w:themeColor="accent1" w:themeShade="BF"/>
        </w:rPr>
      </w:pPr>
      <w:proofErr w:type="spellStart"/>
      <w:r>
        <w:rPr>
          <w:b/>
          <w:bCs/>
          <w:color w:val="365F91" w:themeColor="accent1" w:themeShade="BF"/>
        </w:rPr>
        <w:t>Masterc</w:t>
      </w:r>
      <w:r w:rsidR="00ED3191" w:rsidRPr="00FF5A90">
        <w:rPr>
          <w:b/>
          <w:bCs/>
          <w:color w:val="365F91" w:themeColor="accent1" w:themeShade="BF"/>
        </w:rPr>
        <w:t>lock</w:t>
      </w:r>
      <w:proofErr w:type="spellEnd"/>
      <w:r w:rsidR="00ED3191" w:rsidRPr="00FF5A90">
        <w:rPr>
          <w:b/>
          <w:bCs/>
          <w:color w:val="365F91" w:themeColor="accent1" w:themeShade="BF"/>
        </w:rPr>
        <w:t xml:space="preserve">, USA for Time Synchronization </w:t>
      </w:r>
      <w:r w:rsidR="00FF5A90">
        <w:rPr>
          <w:b/>
          <w:bCs/>
          <w:color w:val="365F91" w:themeColor="accent1" w:themeShade="BF"/>
        </w:rPr>
        <w:t>solutions:</w:t>
      </w:r>
    </w:p>
    <w:p w:rsidR="00FF5A90" w:rsidRPr="00FF5A90" w:rsidRDefault="00FF5A90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Master Time Server (NTP, IRIG-B, SMTPE, Pulse output)</w:t>
      </w:r>
    </w:p>
    <w:p w:rsidR="00FF5A90" w:rsidRPr="00FF5A90" w:rsidRDefault="00FF5A90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Time Code Converter (IRIG-B, SMTPE, BCD, Parallel, Pulse etc)</w:t>
      </w:r>
    </w:p>
    <w:p w:rsidR="00FF5A90" w:rsidRPr="00FF5A90" w:rsidRDefault="00FF5A90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Digital and Analog Clocks</w:t>
      </w:r>
    </w:p>
    <w:p w:rsidR="00FF5A90" w:rsidRPr="00FF5A90" w:rsidRDefault="00FF5A90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PCI Cards in computer</w:t>
      </w:r>
    </w:p>
    <w:p w:rsidR="00FF5A90" w:rsidRPr="00FF5A90" w:rsidRDefault="00FF5A90" w:rsidP="00FF5A90">
      <w:pPr>
        <w:pStyle w:val="ListParagraph"/>
        <w:spacing w:after="0"/>
        <w:jc w:val="both"/>
        <w:rPr>
          <w:b/>
          <w:bCs/>
          <w:color w:val="365F91" w:themeColor="accent1" w:themeShade="BF"/>
        </w:rPr>
      </w:pPr>
    </w:p>
    <w:p w:rsidR="00ED3191" w:rsidRPr="00FF5A90" w:rsidRDefault="00ED3191" w:rsidP="00FF5A90">
      <w:pPr>
        <w:spacing w:after="0"/>
        <w:jc w:val="both"/>
        <w:rPr>
          <w:b/>
          <w:bCs/>
          <w:color w:val="365F91" w:themeColor="accent1" w:themeShade="BF"/>
        </w:rPr>
      </w:pPr>
      <w:r w:rsidRPr="00FF5A90">
        <w:rPr>
          <w:b/>
          <w:bCs/>
          <w:color w:val="365F91" w:themeColor="accent1" w:themeShade="BF"/>
        </w:rPr>
        <w:t>Hardware Products: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PLC panels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Operator consoles monitors‐CRT and LCD Monitors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Larges LED Display and Plasma Displays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Industrial Computers &amp; Servers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SCSI and IDE Hard disks for DCS operator Stations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SCADA Stations and software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Serial &amp; Ethernet converters &amp; Industrial Networking products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High speed Data Acquisition IO modules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Serial port expansion cards</w:t>
      </w:r>
    </w:p>
    <w:p w:rsidR="00ED3191" w:rsidRP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Networking products</w:t>
      </w:r>
    </w:p>
    <w:p w:rsidR="00FF5A90" w:rsidRDefault="00ED3191" w:rsidP="00FF5A9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3"/>
        </w:rPr>
      </w:pPr>
      <w:r w:rsidRPr="00FF5A90">
        <w:rPr>
          <w:rFonts w:ascii="Calibri" w:hAnsi="Calibri" w:cs="Calibri"/>
          <w:color w:val="000000"/>
          <w:sz w:val="20"/>
          <w:szCs w:val="23"/>
        </w:rPr>
        <w:t>Wireless Data link up to 10 km</w:t>
      </w:r>
    </w:p>
    <w:p w:rsidR="00FF5A90" w:rsidRPr="00FF5A90" w:rsidRDefault="00FF5A90" w:rsidP="00FF5A9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0"/>
          <w:szCs w:val="23"/>
        </w:rPr>
      </w:pPr>
    </w:p>
    <w:p w:rsidR="00ED3191" w:rsidRPr="00FF5A90" w:rsidRDefault="00ED3191" w:rsidP="00E90174">
      <w:pPr>
        <w:rPr>
          <w:rFonts w:ascii="Comic Sans MS" w:hAnsi="Comic Sans MS"/>
          <w:szCs w:val="28"/>
        </w:rPr>
      </w:pPr>
      <w:r w:rsidRPr="00FF5A90">
        <w:rPr>
          <w:rFonts w:ascii="Comic Sans MS" w:hAnsi="Comic Sans MS" w:cs="Arial"/>
          <w:szCs w:val="28"/>
        </w:rPr>
        <w:t>With Best Regards,</w:t>
      </w:r>
      <w:r w:rsidRPr="00FF5A90">
        <w:rPr>
          <w:rFonts w:ascii="Comic Sans MS" w:hAnsi="Comic Sans MS"/>
          <w:szCs w:val="28"/>
        </w:rPr>
        <w:t> </w:t>
      </w:r>
    </w:p>
    <w:p w:rsidR="00ED3191" w:rsidRPr="00E90174" w:rsidRDefault="00A81F5B" w:rsidP="00E90174">
      <w:r w:rsidRPr="00C6471D">
        <w:rPr>
          <w:rFonts w:ascii="Arial" w:hAnsi="Arial" w:cs="Arial"/>
          <w:noProof/>
          <w:sz w:val="28"/>
          <w:szCs w:val="28"/>
        </w:rPr>
        <w:pict>
          <v:shape id="Picture 1" o:spid="_x0000_i1025" type="#_x0000_t75" style="width:104.35pt;height:55.5pt;visibility:visible">
            <v:imagedata r:id="rId18" o:title=""/>
          </v:shape>
        </w:pict>
      </w:r>
    </w:p>
    <w:p w:rsidR="00FF5A90" w:rsidRPr="00FF5A90" w:rsidRDefault="00FF5A90" w:rsidP="00FF5A90">
      <w:pPr>
        <w:rPr>
          <w:rFonts w:ascii="Comic Sans MS" w:hAnsi="Comic Sans MS" w:cs="Arial"/>
          <w:b/>
          <w:sz w:val="24"/>
          <w:szCs w:val="28"/>
        </w:rPr>
      </w:pPr>
      <w:r w:rsidRPr="00FF5A90">
        <w:rPr>
          <w:rFonts w:ascii="Comic Sans MS" w:hAnsi="Comic Sans MS" w:cs="Arial"/>
          <w:b/>
          <w:sz w:val="24"/>
          <w:szCs w:val="28"/>
        </w:rPr>
        <w:t>Sudip Vidyarthi</w:t>
      </w:r>
    </w:p>
    <w:p w:rsidR="00ED3191" w:rsidRDefault="00ED3191" w:rsidP="00FF5A90">
      <w:pPr>
        <w:rPr>
          <w:rFonts w:ascii="Comic Sans MS" w:hAnsi="Comic Sans MS" w:cs="Arial"/>
          <w:b/>
          <w:color w:val="FF0000"/>
          <w:sz w:val="20"/>
          <w:szCs w:val="28"/>
        </w:rPr>
      </w:pPr>
      <w:r w:rsidRPr="00FF5A90">
        <w:rPr>
          <w:rFonts w:ascii="Comic Sans MS" w:hAnsi="Comic Sans MS" w:cs="Arial"/>
          <w:b/>
          <w:color w:val="FF0000"/>
          <w:sz w:val="20"/>
          <w:szCs w:val="28"/>
        </w:rPr>
        <w:t>Managing Director</w:t>
      </w:r>
    </w:p>
    <w:p w:rsidR="00185C59" w:rsidRDefault="00185C59" w:rsidP="00FF5A90">
      <w:pPr>
        <w:rPr>
          <w:rFonts w:ascii="Comic Sans MS" w:hAnsi="Comic Sans MS" w:cs="Arial"/>
          <w:b/>
          <w:color w:val="FF0000"/>
          <w:sz w:val="20"/>
          <w:szCs w:val="28"/>
        </w:rPr>
      </w:pPr>
    </w:p>
    <w:p w:rsidR="00FF5A90" w:rsidRDefault="00FF5A90" w:rsidP="00FF5A90">
      <w:pPr>
        <w:rPr>
          <w:rFonts w:ascii="Comic Sans MS" w:hAnsi="Comic Sans MS" w:cs="Arial"/>
          <w:b/>
          <w:sz w:val="18"/>
          <w:szCs w:val="28"/>
        </w:rPr>
      </w:pPr>
      <w:r w:rsidRPr="00FF5A90">
        <w:rPr>
          <w:rFonts w:ascii="Comic Sans MS" w:hAnsi="Comic Sans MS" w:cs="Arial"/>
          <w:b/>
          <w:sz w:val="18"/>
          <w:szCs w:val="28"/>
        </w:rPr>
        <w:t>Annexure: Customer List</w:t>
      </w:r>
    </w:p>
    <w:p w:rsidR="001E4EB1" w:rsidRDefault="001E4EB1">
      <w:pPr>
        <w:rPr>
          <w:rFonts w:ascii="Comic Sans MS" w:hAnsi="Comic Sans MS" w:cs="Arial"/>
          <w:b/>
          <w:noProof/>
          <w:sz w:val="18"/>
          <w:szCs w:val="28"/>
        </w:rPr>
      </w:pPr>
    </w:p>
    <w:p w:rsidR="001E4EB1" w:rsidRDefault="001E4EB1">
      <w:pPr>
        <w:rPr>
          <w:rFonts w:ascii="Comic Sans MS" w:hAnsi="Comic Sans MS" w:cs="Arial"/>
          <w:b/>
          <w:noProof/>
          <w:sz w:val="18"/>
          <w:szCs w:val="28"/>
        </w:rPr>
      </w:pPr>
    </w:p>
    <w:p w:rsidR="00A81F5B" w:rsidRDefault="00A81F5B" w:rsidP="001E4EB1">
      <w:pPr>
        <w:spacing w:before="240" w:after="60" w:line="240" w:lineRule="auto"/>
        <w:outlineLvl w:val="0"/>
        <w:rPr>
          <w:rFonts w:ascii="Arial" w:eastAsia="Times New Roman" w:hAnsi="Arial" w:cs="Arial"/>
          <w:color w:val="0000FF"/>
          <w:kern w:val="28"/>
          <w:szCs w:val="40"/>
        </w:rPr>
      </w:pPr>
    </w:p>
    <w:p w:rsidR="001E4EB1" w:rsidRPr="001E4EB1" w:rsidRDefault="001E4EB1" w:rsidP="001E4EB1">
      <w:pPr>
        <w:spacing w:before="240" w:after="60" w:line="240" w:lineRule="auto"/>
        <w:outlineLvl w:val="0"/>
        <w:rPr>
          <w:rFonts w:ascii="Arial" w:eastAsia="Times New Roman" w:hAnsi="Arial" w:cs="Arial"/>
          <w:color w:val="0000FF"/>
          <w:kern w:val="28"/>
          <w:szCs w:val="40"/>
        </w:rPr>
      </w:pPr>
      <w:r w:rsidRPr="001E4EB1">
        <w:rPr>
          <w:rFonts w:ascii="Arial" w:eastAsia="Times New Roman" w:hAnsi="Arial" w:cs="Arial"/>
          <w:color w:val="0000FF"/>
          <w:kern w:val="28"/>
          <w:szCs w:val="40"/>
        </w:rPr>
        <w:t xml:space="preserve">Customer Reference List - </w:t>
      </w:r>
      <w:r w:rsidR="00421E76">
        <w:rPr>
          <w:rFonts w:ascii="Arial" w:eastAsia="Times New Roman" w:hAnsi="Arial" w:cs="Arial"/>
          <w:color w:val="0000FF"/>
          <w:kern w:val="28"/>
          <w:szCs w:val="40"/>
        </w:rPr>
        <w:t>SSM InfoT</w:t>
      </w:r>
      <w:r w:rsidRPr="001E4EB1">
        <w:rPr>
          <w:rFonts w:ascii="Arial" w:eastAsia="Times New Roman" w:hAnsi="Arial" w:cs="Arial"/>
          <w:color w:val="0000FF"/>
          <w:kern w:val="28"/>
          <w:szCs w:val="40"/>
        </w:rPr>
        <w:t>ech solutions Pvt. Ltd.</w:t>
      </w:r>
    </w:p>
    <w:tbl>
      <w:tblPr>
        <w:tblW w:w="95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5"/>
        <w:gridCol w:w="4495"/>
      </w:tblGrid>
      <w:tr w:rsidR="001E4EB1" w:rsidRPr="001E4EB1" w:rsidTr="005659A6">
        <w:trPr>
          <w:trHeight w:val="338"/>
        </w:trPr>
        <w:tc>
          <w:tcPr>
            <w:tcW w:w="5045" w:type="dxa"/>
            <w:shd w:val="clear" w:color="auto" w:fill="0000FF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Cs w:val="16"/>
              </w:rPr>
            </w:pPr>
            <w:r w:rsidRPr="001E4EB1">
              <w:rPr>
                <w:rFonts w:ascii="Calibri" w:eastAsia="Times New Roman" w:hAnsi="Calibri" w:cs="Arial"/>
                <w:b/>
                <w:bCs/>
                <w:szCs w:val="16"/>
              </w:rPr>
              <w:t xml:space="preserve">Customer Name </w:t>
            </w:r>
          </w:p>
        </w:tc>
        <w:tc>
          <w:tcPr>
            <w:tcW w:w="4495" w:type="dxa"/>
            <w:shd w:val="clear" w:color="auto" w:fill="0000FF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Cs w:val="16"/>
              </w:rPr>
            </w:pPr>
            <w:r w:rsidRPr="001E4EB1">
              <w:rPr>
                <w:rFonts w:ascii="Calibri" w:eastAsia="Times New Roman" w:hAnsi="Calibri" w:cs="Arial"/>
                <w:b/>
                <w:bCs/>
                <w:szCs w:val="16"/>
              </w:rPr>
              <w:t xml:space="preserve">Customer Name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Ltd.,Hazira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 &amp; T Engineering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Ltd.,Patalganga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Gujarat Alkalis &amp; Chemicals  Ltd. (GACL)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Ltd.,Jamnagar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FOSROC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Reliance Energy Ltd. ,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Dahanu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COLORTEX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Ltd.,Gandhar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Essar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Refinery Jamnagar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Ltd .Baroda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Micro Inks (Hindustan Inks &amp; resins Ltd.)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Reliance Industries Ltd ,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Nagothane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Jindal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Iron And Steel Company Ltd. (JISCO)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Reliance Industries Ltd ,Nagpur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United Phosphorus Ltd.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Ltd.,Kurkumbh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Huber Chemicals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-Orissa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Polyfibres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Indian Farmers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Fertiliser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Cooperative Limited(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Iffco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)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Reliance Industries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Ltd.Naroda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(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Ahmedabad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)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Cotmac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Electronics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Indian Oil Corporation Ltd. (IOCL) Baroda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Cairn Energy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IOCL Mathura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KLG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Systel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Ltd.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IOCL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Panipat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HCE ,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Hazira</w:t>
            </w:r>
            <w:proofErr w:type="spellEnd"/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Birla Cellulosic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ENVISION ENVIRO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Indian Rayon –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Aditya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Birla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Nuvo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Navin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Flourine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Birla Copper-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Hindalco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Nakoda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Textiles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Oil and Natural Gas Corporation Ltd. (ONGC)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L &amp; T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Ltd.,Hazira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National Thermal Power Corporation (NTPC),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Kawas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RBS VACCUTECH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NTPC,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Dadri</w:t>
            </w:r>
            <w:proofErr w:type="spellEnd"/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Air Liquid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Anchor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Enviro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Control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Gujarat State Energy Generation Ltd. (GSEG)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Yokogawa India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Gulf Oil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Sumul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Dairy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Larsen &amp; Toubro (L&amp;T)-control &amp; automation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Nupur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Gas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Gas Authority of India Ltd.(GAIL) ,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Vaghodia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Shell (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hazira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LNG)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Aventis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Pharma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Vardhaman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Acrylics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ABB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Banco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Products India Ltd.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GAIL, Ujjain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Dynalog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India Ltd.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Alkem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Laboratories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Hitech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Marketing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Krishak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Bharati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Cooperative Limited (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Kribhco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)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Schneider Electric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Venus Jewels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Gujarat Industrial Power Corporation Ltd.(GIPCL)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Dhiraj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Intermediates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Miranda Tools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Gujarat Narmada Valley Fertilizers Company Limited </w:t>
            </w:r>
            <w:r w:rsidRPr="001E4EB1">
              <w:rPr>
                <w:rFonts w:ascii="Calibri" w:eastAsia="Times New Roman" w:hAnsi="Calibri" w:cs="Arial"/>
                <w:sz w:val="18"/>
                <w:szCs w:val="16"/>
              </w:rPr>
              <w:t>(GNFC)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RAJ ELECTRICAL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Gujarat State Fertilizers &amp; Chemicals Ltd. (GSFC)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Iffco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Ltd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Remi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Metals Gujarat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INOX 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Ultratech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Cement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FLS Automation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4G Informatics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Rockwell Automation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Coperion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India (P)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Gujarat Electricity Board (GEB)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Cryst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Hydro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Steag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Encotec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(P) Ltd.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Essar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Steel Ltd. 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Essar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Power Ltd.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Hindustan Petroleum Corp. Ltd.(HPCL)</w:t>
            </w:r>
          </w:p>
        </w:tc>
        <w:tc>
          <w:tcPr>
            <w:tcW w:w="4495" w:type="dxa"/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L &amp; T - ECC 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Theta Control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SAB TV –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Adhikari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Brothers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Logicon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Technosolutions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</w:t>
            </w: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Pvt.Ltd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Blossom Industries Ltd, Daman</w:t>
            </w:r>
          </w:p>
        </w:tc>
      </w:tr>
      <w:tr w:rsidR="001E4EB1" w:rsidRPr="001E4EB1" w:rsidTr="005659A6">
        <w:trPr>
          <w:trHeight w:val="269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Gujarat Chemical Port Terminal Company Limited (GCPTCL)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1" w:rsidRPr="001E4EB1" w:rsidRDefault="001E4EB1" w:rsidP="001E4EB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16"/>
              </w:rPr>
            </w:pPr>
            <w:proofErr w:type="spellStart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>Manhar</w:t>
            </w:r>
            <w:proofErr w:type="spellEnd"/>
            <w:r w:rsidRPr="001E4EB1">
              <w:rPr>
                <w:rFonts w:ascii="Calibri" w:eastAsia="Times New Roman" w:hAnsi="Calibri" w:cs="Arial"/>
                <w:sz w:val="20"/>
                <w:szCs w:val="16"/>
              </w:rPr>
              <w:t xml:space="preserve"> Dying &amp; processors</w:t>
            </w:r>
          </w:p>
        </w:tc>
      </w:tr>
    </w:tbl>
    <w:p w:rsidR="001E4EB1" w:rsidRPr="001E4EB1" w:rsidRDefault="001E4EB1" w:rsidP="001E4E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sectPr w:rsidR="001E4EB1" w:rsidRPr="001E4EB1" w:rsidSect="00D72318">
      <w:pgSz w:w="12240" w:h="15840"/>
      <w:pgMar w:top="540" w:right="1080" w:bottom="1440" w:left="108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tbn0.google.com/images?q=tbn:IVCALWbhLvzoYM:http://www.egwutilities.com/phone.gif" style="width:37.65pt;height:37.65pt;visibility:visible;mso-wrap-style:square" o:bullet="t">
        <v:imagedata r:id="rId1" o:title="phone"/>
      </v:shape>
    </w:pict>
  </w:numPicBullet>
  <w:abstractNum w:abstractNumId="0">
    <w:nsid w:val="137C1DB8"/>
    <w:multiLevelType w:val="hybridMultilevel"/>
    <w:tmpl w:val="9624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C616E"/>
    <w:multiLevelType w:val="hybridMultilevel"/>
    <w:tmpl w:val="D57A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094C6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50EC2"/>
    <w:multiLevelType w:val="hybridMultilevel"/>
    <w:tmpl w:val="CF66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1270D"/>
    <w:multiLevelType w:val="hybridMultilevel"/>
    <w:tmpl w:val="BAF4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A4558"/>
    <w:multiLevelType w:val="hybridMultilevel"/>
    <w:tmpl w:val="0FA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F4943"/>
    <w:multiLevelType w:val="hybridMultilevel"/>
    <w:tmpl w:val="BDAE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2318"/>
    <w:rsid w:val="00185C59"/>
    <w:rsid w:val="001E4EB1"/>
    <w:rsid w:val="004114EA"/>
    <w:rsid w:val="00421E76"/>
    <w:rsid w:val="004413AF"/>
    <w:rsid w:val="00771004"/>
    <w:rsid w:val="00791CA0"/>
    <w:rsid w:val="00A10741"/>
    <w:rsid w:val="00A25634"/>
    <w:rsid w:val="00A61CB7"/>
    <w:rsid w:val="00A81F5B"/>
    <w:rsid w:val="00C6471D"/>
    <w:rsid w:val="00CE3E40"/>
    <w:rsid w:val="00CF0955"/>
    <w:rsid w:val="00D72318"/>
    <w:rsid w:val="00E23659"/>
    <w:rsid w:val="00ED3191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56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hyperlink" Target="http://images.google.co.in/imgres?imgurl=http://www.cougarbyte.com/ms_logo.jpg&amp;imgrefurl=http://www.cougarbyte.com/deptms.html&amp;h=360&amp;w=450&amp;sz=37&amp;hl=en&amp;start=5&amp;sig2=WMSjPdc0E7MHtIjHjQ4cbQ&amp;tbnid=QgGyfFWLHGu4nM:&amp;tbnh=102&amp;tbnw=127&amp;eid=4DxVR6zOAZ2iggO664npDQ&amp;prev=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hyperlink" Target="http://www.rockwell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bn0.google.com/images?q=tbn:QgGyfFWLHGu4nM:http://www.cougarbyte.com/ms_logo.jpg" TargetMode="External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InfoTech Solutions Pvt. Ltd.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</dc:creator>
  <cp:keywords/>
  <dc:description/>
  <cp:lastModifiedBy>SAC</cp:lastModifiedBy>
  <cp:revision>2</cp:revision>
  <dcterms:created xsi:type="dcterms:W3CDTF">2009-04-29T06:27:00Z</dcterms:created>
  <dcterms:modified xsi:type="dcterms:W3CDTF">2009-04-29T06:27:00Z</dcterms:modified>
</cp:coreProperties>
</file>